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9D120">
      <w:pPr>
        <w:contextualSpacing/>
        <w:jc w:val="center"/>
        <w:rPr>
          <w:rFonts w:ascii="方正小标宋简体" w:hAnsi="黑体" w:eastAsia="方正小标宋简体"/>
          <w:sz w:val="36"/>
          <w:szCs w:val="36"/>
        </w:rPr>
      </w:pPr>
      <w:r>
        <w:rPr>
          <w:rFonts w:hint="eastAsia" w:ascii="方正小标宋简体" w:hAnsi="黑体" w:eastAsia="方正小标宋简体"/>
          <w:sz w:val="36"/>
          <w:szCs w:val="36"/>
        </w:rPr>
        <w:t>首都经济贸易大学</w:t>
      </w:r>
      <w:r>
        <w:rPr>
          <w:rFonts w:hint="eastAsia" w:ascii="方正小标宋简体" w:hAnsi="黑体" w:eastAsia="方正小标宋简体"/>
          <w:sz w:val="36"/>
          <w:szCs w:val="36"/>
          <w:highlight w:val="none"/>
        </w:rPr>
        <w:t>2025</w:t>
      </w:r>
      <w:r>
        <w:rPr>
          <w:rFonts w:hint="eastAsia" w:ascii="方正小标宋简体" w:hAnsi="黑体" w:eastAsia="方正小标宋简体"/>
          <w:sz w:val="36"/>
          <w:szCs w:val="36"/>
        </w:rPr>
        <w:t>年</w:t>
      </w:r>
    </w:p>
    <w:p w14:paraId="78A87324">
      <w:pPr>
        <w:contextualSpacing/>
        <w:jc w:val="center"/>
        <w:rPr>
          <w:rFonts w:ascii="方正小标宋简体" w:hAnsi="黑体" w:eastAsia="方正小标宋简体"/>
          <w:sz w:val="36"/>
          <w:szCs w:val="36"/>
        </w:rPr>
      </w:pPr>
      <w:r>
        <w:rPr>
          <w:rFonts w:hint="eastAsia" w:ascii="方正小标宋简体" w:hAnsi="黑体" w:eastAsia="方正小标宋简体"/>
          <w:sz w:val="36"/>
          <w:szCs w:val="36"/>
        </w:rPr>
        <w:t>关于北京市高端技术技能人才贯通培养试验项目</w:t>
      </w:r>
    </w:p>
    <w:p w14:paraId="715626F5">
      <w:pPr>
        <w:contextualSpacing/>
        <w:jc w:val="center"/>
        <w:rPr>
          <w:rFonts w:ascii="方正小标宋简体" w:hAnsi="黑体" w:eastAsia="方正小标宋简体"/>
          <w:sz w:val="36"/>
          <w:szCs w:val="36"/>
        </w:rPr>
      </w:pPr>
      <w:r>
        <w:rPr>
          <w:rFonts w:hint="eastAsia" w:ascii="方正小标宋简体" w:hAnsi="黑体" w:eastAsia="方正小标宋简体"/>
          <w:sz w:val="36"/>
          <w:szCs w:val="36"/>
        </w:rPr>
        <w:t>专升本转段考试方案</w:t>
      </w:r>
    </w:p>
    <w:p w14:paraId="65FC2F14">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根据《北京市教育委员会关于2019年开展高端技术技能人才贯通培养试验的通知》（京教职成〔2019〕4号）和《关于做好北京市高端技术技能人才贯通培养试验项目专升本转段工作的通知》（京教函〔2019〕537号）文件精神，为做好我校</w:t>
      </w:r>
      <w:r>
        <w:rPr>
          <w:rFonts w:hint="eastAsia" w:ascii="仿宋" w:hAnsi="仿宋" w:eastAsia="仿宋"/>
          <w:sz w:val="32"/>
          <w:szCs w:val="32"/>
          <w:highlight w:val="none"/>
        </w:rPr>
        <w:t>2025</w:t>
      </w:r>
      <w:r>
        <w:rPr>
          <w:rFonts w:hint="eastAsia" w:ascii="仿宋" w:hAnsi="仿宋" w:eastAsia="仿宋"/>
          <w:sz w:val="32"/>
          <w:szCs w:val="32"/>
        </w:rPr>
        <w:t>年高端技术技能人才贯通培养试验项目</w:t>
      </w:r>
      <w:r>
        <w:rPr>
          <w:rFonts w:hint="eastAsia" w:ascii="仿宋" w:hAnsi="仿宋" w:eastAsia="仿宋"/>
          <w:sz w:val="30"/>
          <w:szCs w:val="30"/>
        </w:rPr>
        <w:t>专升本转段考试（以下简称“转段考试”）工作</w:t>
      </w:r>
      <w:r>
        <w:rPr>
          <w:rFonts w:hint="eastAsia" w:ascii="仿宋" w:hAnsi="仿宋" w:eastAsia="仿宋"/>
          <w:sz w:val="32"/>
          <w:szCs w:val="32"/>
        </w:rPr>
        <w:t>，结合我校实际，</w:t>
      </w:r>
      <w:r>
        <w:rPr>
          <w:rFonts w:hint="eastAsia" w:ascii="仿宋" w:hAnsi="仿宋" w:eastAsia="仿宋"/>
          <w:sz w:val="30"/>
          <w:szCs w:val="30"/>
        </w:rPr>
        <w:t>经与合作培养院校协商，</w:t>
      </w:r>
      <w:r>
        <w:rPr>
          <w:rFonts w:hint="eastAsia" w:ascii="仿宋" w:hAnsi="仿宋" w:eastAsia="仿宋"/>
          <w:sz w:val="32"/>
          <w:szCs w:val="32"/>
        </w:rPr>
        <w:t>特制定本方案。</w:t>
      </w:r>
    </w:p>
    <w:p w14:paraId="4D5F1B3E">
      <w:pPr>
        <w:spacing w:line="520" w:lineRule="exact"/>
        <w:ind w:firstLine="643" w:firstLineChars="200"/>
        <w:contextualSpacing/>
        <w:rPr>
          <w:rFonts w:ascii="仿宋" w:hAnsi="仿宋" w:eastAsia="仿宋"/>
          <w:b/>
          <w:sz w:val="32"/>
          <w:szCs w:val="32"/>
        </w:rPr>
      </w:pPr>
      <w:r>
        <w:rPr>
          <w:rFonts w:hint="eastAsia" w:ascii="仿宋" w:hAnsi="仿宋" w:eastAsia="仿宋"/>
          <w:b/>
          <w:sz w:val="32"/>
          <w:szCs w:val="32"/>
        </w:rPr>
        <w:t>一、工作机构</w:t>
      </w:r>
    </w:p>
    <w:p w14:paraId="54A4FA7B">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首都经济贸易大学与北京劳动保障职业学院共同成立专门工作组。</w:t>
      </w:r>
    </w:p>
    <w:p w14:paraId="582A1C2B">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1.</w:t>
      </w:r>
      <w:r>
        <w:rPr>
          <w:rFonts w:hint="eastAsia" w:ascii="仿宋" w:hAnsi="仿宋" w:eastAsia="仿宋"/>
          <w:b/>
          <w:sz w:val="32"/>
          <w:szCs w:val="32"/>
        </w:rPr>
        <w:t>组长</w:t>
      </w:r>
      <w:r>
        <w:rPr>
          <w:rFonts w:hint="eastAsia" w:ascii="仿宋" w:hAnsi="仿宋" w:eastAsia="仿宋"/>
          <w:sz w:val="32"/>
          <w:szCs w:val="32"/>
        </w:rPr>
        <w:t>：吴卫星、蔡大鹏；</w:t>
      </w:r>
    </w:p>
    <w:p w14:paraId="62879581">
      <w:pPr>
        <w:spacing w:line="520" w:lineRule="exact"/>
        <w:ind w:firstLine="640" w:firstLineChars="200"/>
        <w:contextualSpacing/>
        <w:rPr>
          <w:rFonts w:ascii="仿宋" w:hAnsi="仿宋" w:eastAsia="仿宋"/>
          <w:sz w:val="32"/>
          <w:szCs w:val="32"/>
          <w:highlight w:val="none"/>
        </w:rPr>
      </w:pPr>
      <w:r>
        <w:rPr>
          <w:rFonts w:hint="eastAsia" w:ascii="仿宋" w:hAnsi="仿宋" w:eastAsia="仿宋"/>
          <w:sz w:val="32"/>
          <w:szCs w:val="32"/>
        </w:rPr>
        <w:t>2.</w:t>
      </w:r>
      <w:r>
        <w:rPr>
          <w:rFonts w:hint="eastAsia" w:ascii="仿宋" w:hAnsi="仿宋" w:eastAsia="仿宋"/>
          <w:b/>
          <w:sz w:val="32"/>
          <w:szCs w:val="32"/>
        </w:rPr>
        <w:t>副组长</w:t>
      </w:r>
      <w:r>
        <w:rPr>
          <w:rFonts w:hint="eastAsia" w:ascii="仿宋" w:hAnsi="仿宋" w:eastAsia="仿宋"/>
          <w:sz w:val="32"/>
          <w:szCs w:val="32"/>
        </w:rPr>
        <w:t>：</w:t>
      </w:r>
      <w:r>
        <w:rPr>
          <w:rFonts w:hint="eastAsia" w:ascii="仿宋" w:hAnsi="仿宋" w:eastAsia="仿宋"/>
          <w:sz w:val="32"/>
          <w:szCs w:val="32"/>
          <w:highlight w:val="none"/>
        </w:rPr>
        <w:t>李鲲鹏、</w:t>
      </w:r>
      <w:r>
        <w:rPr>
          <w:rFonts w:hint="eastAsia" w:ascii="仿宋" w:hAnsi="仿宋" w:eastAsia="仿宋"/>
          <w:sz w:val="32"/>
          <w:szCs w:val="32"/>
          <w:highlight w:val="none"/>
          <w:lang w:val="en-US" w:eastAsia="zh-CN"/>
        </w:rPr>
        <w:t>张奇峰</w:t>
      </w:r>
      <w:r>
        <w:rPr>
          <w:rFonts w:hint="eastAsia" w:ascii="仿宋" w:hAnsi="仿宋" w:eastAsia="仿宋"/>
          <w:sz w:val="32"/>
          <w:szCs w:val="32"/>
          <w:highlight w:val="none"/>
        </w:rPr>
        <w:t>；</w:t>
      </w:r>
    </w:p>
    <w:p w14:paraId="067F67AF">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highlight w:val="none"/>
        </w:rPr>
        <w:t>3.</w:t>
      </w:r>
      <w:r>
        <w:rPr>
          <w:rFonts w:hint="eastAsia" w:ascii="仿宋" w:hAnsi="仿宋" w:eastAsia="仿宋"/>
          <w:b/>
          <w:sz w:val="32"/>
          <w:szCs w:val="32"/>
          <w:highlight w:val="none"/>
        </w:rPr>
        <w:t>成员：</w:t>
      </w:r>
      <w:r>
        <w:rPr>
          <w:rFonts w:hint="eastAsia" w:ascii="仿宋" w:hAnsi="仿宋" w:eastAsia="仿宋"/>
          <w:bCs/>
          <w:sz w:val="32"/>
          <w:szCs w:val="32"/>
          <w:highlight w:val="none"/>
        </w:rPr>
        <w:t>孙忠娟</w:t>
      </w:r>
      <w:r>
        <w:rPr>
          <w:rFonts w:hint="eastAsia" w:ascii="仿宋" w:hAnsi="仿宋" w:eastAsia="仿宋"/>
          <w:sz w:val="32"/>
          <w:szCs w:val="32"/>
          <w:highlight w:val="none"/>
        </w:rPr>
        <w:t>、</w:t>
      </w:r>
      <w:r>
        <w:rPr>
          <w:rFonts w:ascii="仿宋" w:hAnsi="仿宋" w:eastAsia="仿宋"/>
          <w:sz w:val="32"/>
          <w:szCs w:val="32"/>
        </w:rPr>
        <w:t>任韬</w:t>
      </w:r>
      <w:r>
        <w:rPr>
          <w:rFonts w:hint="eastAsia" w:ascii="仿宋" w:hAnsi="仿宋" w:eastAsia="仿宋"/>
          <w:sz w:val="32"/>
          <w:szCs w:val="32"/>
        </w:rPr>
        <w:t>、孟毅芳、韩彦芳、李伊涵、李琦、</w:t>
      </w:r>
      <w:r>
        <w:rPr>
          <w:rFonts w:hint="eastAsia" w:ascii="仿宋" w:hAnsi="仿宋" w:eastAsia="仿宋"/>
          <w:sz w:val="32"/>
          <w:szCs w:val="32"/>
          <w:lang w:val="en-US" w:eastAsia="zh-CN"/>
        </w:rPr>
        <w:t>费潇潇</w:t>
      </w:r>
      <w:r>
        <w:rPr>
          <w:rFonts w:hint="eastAsia" w:ascii="仿宋" w:hAnsi="仿宋" w:eastAsia="仿宋"/>
          <w:sz w:val="32"/>
          <w:szCs w:val="32"/>
          <w:lang w:eastAsia="zh-Hans"/>
        </w:rPr>
        <w:t>、方正</w:t>
      </w:r>
      <w:r>
        <w:rPr>
          <w:rFonts w:hint="eastAsia" w:ascii="仿宋" w:hAnsi="仿宋" w:eastAsia="仿宋"/>
          <w:sz w:val="32"/>
          <w:szCs w:val="32"/>
        </w:rPr>
        <w:t>；</w:t>
      </w:r>
    </w:p>
    <w:p w14:paraId="60B954AD">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4.</w:t>
      </w:r>
      <w:r>
        <w:rPr>
          <w:rFonts w:hint="eastAsia" w:ascii="仿宋" w:hAnsi="仿宋" w:eastAsia="仿宋"/>
          <w:b/>
          <w:sz w:val="32"/>
          <w:szCs w:val="32"/>
        </w:rPr>
        <w:t>监督</w:t>
      </w:r>
      <w:r>
        <w:rPr>
          <w:rFonts w:ascii="仿宋" w:hAnsi="仿宋" w:eastAsia="仿宋"/>
          <w:b/>
          <w:sz w:val="32"/>
          <w:szCs w:val="32"/>
        </w:rPr>
        <w:t>部门</w:t>
      </w:r>
      <w:r>
        <w:rPr>
          <w:rFonts w:hint="eastAsia" w:ascii="仿宋" w:hAnsi="仿宋" w:eastAsia="仿宋"/>
          <w:b/>
          <w:sz w:val="32"/>
          <w:szCs w:val="32"/>
        </w:rPr>
        <w:t>负责人：</w:t>
      </w:r>
      <w:r>
        <w:rPr>
          <w:rFonts w:hint="eastAsia" w:ascii="仿宋" w:hAnsi="仿宋" w:eastAsia="仿宋"/>
          <w:bCs/>
          <w:sz w:val="32"/>
          <w:szCs w:val="32"/>
          <w:highlight w:val="none"/>
        </w:rPr>
        <w:t>商筱辉</w:t>
      </w:r>
      <w:r>
        <w:rPr>
          <w:rFonts w:hint="eastAsia" w:ascii="仿宋" w:hAnsi="仿宋" w:eastAsia="仿宋"/>
          <w:sz w:val="32"/>
          <w:szCs w:val="32"/>
        </w:rPr>
        <w:t>、庞继伟。</w:t>
      </w:r>
    </w:p>
    <w:p w14:paraId="40F26237">
      <w:pPr>
        <w:spacing w:line="520" w:lineRule="exact"/>
        <w:ind w:firstLine="643" w:firstLineChars="200"/>
        <w:contextualSpacing/>
        <w:rPr>
          <w:rFonts w:ascii="仿宋" w:hAnsi="仿宋" w:eastAsia="仿宋"/>
          <w:b/>
          <w:sz w:val="32"/>
          <w:szCs w:val="32"/>
        </w:rPr>
      </w:pPr>
      <w:r>
        <w:rPr>
          <w:rFonts w:hint="eastAsia" w:ascii="仿宋" w:hAnsi="仿宋" w:eastAsia="仿宋"/>
          <w:b/>
          <w:sz w:val="32"/>
          <w:szCs w:val="32"/>
        </w:rPr>
        <w:t>二、报名条件</w:t>
      </w:r>
    </w:p>
    <w:p w14:paraId="2DAEAB01">
      <w:pPr>
        <w:spacing w:line="520" w:lineRule="exact"/>
        <w:ind w:firstLine="662" w:firstLineChars="207"/>
        <w:contextualSpacing/>
        <w:rPr>
          <w:rFonts w:ascii="仿宋" w:hAnsi="仿宋" w:eastAsia="仿宋"/>
          <w:sz w:val="32"/>
          <w:szCs w:val="32"/>
        </w:rPr>
      </w:pPr>
      <w:r>
        <w:rPr>
          <w:rFonts w:hint="eastAsia" w:ascii="仿宋" w:hAnsi="仿宋" w:eastAsia="仿宋"/>
          <w:color w:val="000000"/>
          <w:sz w:val="32"/>
          <w:szCs w:val="32"/>
        </w:rPr>
        <w:t>1.</w:t>
      </w:r>
      <w:r>
        <w:rPr>
          <w:rFonts w:hint="eastAsia" w:ascii="仿宋" w:hAnsi="仿宋" w:eastAsia="仿宋"/>
          <w:sz w:val="32"/>
          <w:szCs w:val="32"/>
        </w:rPr>
        <w:t>热爱祖国，具有坚定正确的政治方向，拥护党和国家的路线、方针、政策；</w:t>
      </w:r>
    </w:p>
    <w:p w14:paraId="20E302BB">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2.遵守中华人民共和国宪法和法律，遵守公民道德规范，遵守学校管理制度；</w:t>
      </w:r>
    </w:p>
    <w:p w14:paraId="3FEC90B5">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 xml:space="preserve">3.具有良好的道德品质和行为习惯，身心健康； </w:t>
      </w:r>
    </w:p>
    <w:p w14:paraId="7178423F">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4.学习认真刻苦，成绩合格；</w:t>
      </w:r>
    </w:p>
    <w:p w14:paraId="2D926A91">
      <w:pPr>
        <w:spacing w:line="520" w:lineRule="exact"/>
        <w:ind w:firstLine="662" w:firstLineChars="207"/>
        <w:contextualSpacing/>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5.当年按“贯通培养项目”录取且为北京劳动保障职业学院（专科层次）的应届毕业生。</w:t>
      </w:r>
    </w:p>
    <w:p w14:paraId="650F03EE">
      <w:pPr>
        <w:spacing w:line="520" w:lineRule="exact"/>
        <w:ind w:firstLine="643" w:firstLineChars="200"/>
        <w:contextualSpacing/>
        <w:rPr>
          <w:rFonts w:ascii="仿宋" w:hAnsi="仿宋" w:eastAsia="仿宋"/>
          <w:b/>
          <w:sz w:val="32"/>
          <w:szCs w:val="32"/>
        </w:rPr>
      </w:pPr>
      <w:r>
        <w:rPr>
          <w:rFonts w:hint="eastAsia" w:ascii="仿宋" w:hAnsi="仿宋" w:eastAsia="仿宋"/>
          <w:b/>
          <w:sz w:val="32"/>
          <w:szCs w:val="32"/>
        </w:rPr>
        <w:t>三、资格确认</w:t>
      </w:r>
    </w:p>
    <w:p w14:paraId="0C16B7B4">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由北京劳动保障职业学院严格依据学生学籍信息进行转段学生的资格审核，并组织符合条件的学生按照北京教育考试院的具体工作要求，在规定时间内进行贯通培养项目专升本的转段报名工作。</w:t>
      </w:r>
    </w:p>
    <w:p w14:paraId="5E9219A1">
      <w:pPr>
        <w:spacing w:line="520" w:lineRule="exact"/>
        <w:ind w:firstLine="643" w:firstLineChars="200"/>
        <w:contextualSpacing/>
        <w:rPr>
          <w:rFonts w:ascii="仿宋" w:hAnsi="仿宋" w:eastAsia="仿宋"/>
          <w:b/>
          <w:sz w:val="32"/>
          <w:szCs w:val="32"/>
        </w:rPr>
      </w:pPr>
      <w:r>
        <w:rPr>
          <w:rFonts w:hint="eastAsia" w:ascii="仿宋" w:hAnsi="仿宋" w:eastAsia="仿宋"/>
          <w:b/>
          <w:sz w:val="32"/>
          <w:szCs w:val="32"/>
        </w:rPr>
        <w:t>四、转段考试办法</w:t>
      </w:r>
    </w:p>
    <w:p w14:paraId="25EE19E5">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贯通培养项目专升本转段考试采取综合评价的方式进行，综合评价依据专业课考试和学生平时科目考试，参考学生的能力突出项目。</w:t>
      </w:r>
    </w:p>
    <w:p w14:paraId="3A6428F4">
      <w:pPr>
        <w:spacing w:line="520" w:lineRule="exact"/>
        <w:ind w:firstLine="600"/>
        <w:rPr>
          <w:rFonts w:ascii="仿宋" w:hAnsi="仿宋" w:eastAsia="仿宋"/>
          <w:sz w:val="32"/>
          <w:szCs w:val="32"/>
        </w:rPr>
      </w:pPr>
      <w:r>
        <w:rPr>
          <w:rFonts w:hint="eastAsia" w:ascii="仿宋" w:hAnsi="仿宋" w:eastAsia="仿宋"/>
          <w:sz w:val="32"/>
          <w:szCs w:val="32"/>
        </w:rPr>
        <w:t>专业课考试由我校根据贯通培养项目的人才培养方案，结合我校本科专业培养需要，从学生高职阶段专业课程中选择</w:t>
      </w:r>
      <w:r>
        <w:rPr>
          <w:rFonts w:ascii="仿宋" w:hAnsi="仿宋" w:eastAsia="仿宋"/>
          <w:sz w:val="32"/>
          <w:szCs w:val="32"/>
        </w:rPr>
        <w:t>2门科目进行考试，考试大纲参照高职阶段该专业课的教学大纲制定。</w:t>
      </w:r>
      <w:r>
        <w:rPr>
          <w:rFonts w:hint="eastAsia" w:ascii="仿宋" w:hAnsi="仿宋" w:eastAsia="仿宋"/>
          <w:sz w:val="32"/>
          <w:szCs w:val="32"/>
        </w:rPr>
        <w:t>命制试卷、阅卷由我校负责，每门专业课卷面满分均为100分，考试时长均为90分钟，</w:t>
      </w:r>
      <w:r>
        <w:rPr>
          <w:rFonts w:ascii="仿宋" w:hAnsi="仿宋" w:eastAsia="仿宋"/>
          <w:sz w:val="32"/>
          <w:szCs w:val="32"/>
        </w:rPr>
        <w:t>均为闭卷考试</w:t>
      </w:r>
      <w:r>
        <w:rPr>
          <w:rFonts w:hint="eastAsia" w:ascii="仿宋" w:hAnsi="仿宋" w:eastAsia="仿宋"/>
          <w:sz w:val="32"/>
          <w:szCs w:val="32"/>
        </w:rPr>
        <w:t>。考试由北京劳动保障职业学院负责组织，</w:t>
      </w:r>
      <w:r>
        <w:rPr>
          <w:rFonts w:ascii="仿宋" w:hAnsi="仿宋" w:eastAsia="仿宋"/>
          <w:sz w:val="32"/>
          <w:szCs w:val="32"/>
        </w:rPr>
        <w:t>我校负责巡考</w:t>
      </w:r>
      <w:r>
        <w:rPr>
          <w:rFonts w:hint="eastAsia" w:ascii="仿宋" w:hAnsi="仿宋" w:eastAsia="仿宋"/>
          <w:sz w:val="32"/>
          <w:szCs w:val="32"/>
        </w:rPr>
        <w:t>，北京劳动保障职业学院在考试前一周内发放准考证。考试将采取</w:t>
      </w:r>
      <w:r>
        <w:rPr>
          <w:rFonts w:ascii="仿宋" w:hAnsi="仿宋" w:eastAsia="仿宋"/>
          <w:sz w:val="32"/>
          <w:szCs w:val="32"/>
        </w:rPr>
        <w:t>线下</w:t>
      </w:r>
      <w:r>
        <w:rPr>
          <w:rFonts w:hint="eastAsia" w:ascii="仿宋" w:hAnsi="仿宋" w:eastAsia="仿宋"/>
          <w:sz w:val="32"/>
          <w:szCs w:val="32"/>
        </w:rPr>
        <w:t>方式</w:t>
      </w:r>
      <w:r>
        <w:rPr>
          <w:rFonts w:ascii="仿宋" w:hAnsi="仿宋" w:eastAsia="仿宋"/>
          <w:sz w:val="32"/>
          <w:szCs w:val="32"/>
        </w:rPr>
        <w:t>进行，具体安排</w:t>
      </w:r>
      <w:r>
        <w:rPr>
          <w:rFonts w:hint="eastAsia" w:ascii="仿宋" w:hAnsi="仿宋" w:eastAsia="仿宋"/>
          <w:sz w:val="32"/>
          <w:szCs w:val="32"/>
        </w:rPr>
        <w:t>届时</w:t>
      </w:r>
      <w:r>
        <w:rPr>
          <w:rFonts w:ascii="仿宋" w:hAnsi="仿宋" w:eastAsia="仿宋"/>
          <w:sz w:val="32"/>
          <w:szCs w:val="32"/>
        </w:rPr>
        <w:t>另行通知。</w:t>
      </w:r>
    </w:p>
    <w:p w14:paraId="2F83EC69">
      <w:pPr>
        <w:spacing w:line="520" w:lineRule="exact"/>
        <w:ind w:firstLine="600"/>
        <w:rPr>
          <w:rFonts w:ascii="仿宋" w:hAnsi="仿宋" w:eastAsia="仿宋"/>
          <w:sz w:val="32"/>
          <w:szCs w:val="32"/>
        </w:rPr>
      </w:pPr>
      <w:r>
        <w:rPr>
          <w:rFonts w:hint="eastAsia" w:ascii="仿宋" w:hAnsi="仿宋" w:eastAsia="仿宋"/>
          <w:sz w:val="32"/>
          <w:szCs w:val="32"/>
        </w:rPr>
        <w:t>专业课考试科目见下表，考试大纲及参考书目见附件1和附件2。</w:t>
      </w:r>
    </w:p>
    <w:tbl>
      <w:tblPr>
        <w:tblStyle w:val="10"/>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8"/>
        <w:gridCol w:w="2268"/>
        <w:gridCol w:w="2126"/>
        <w:gridCol w:w="2410"/>
      </w:tblGrid>
      <w:tr w14:paraId="19B6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14:paraId="731154D4">
            <w:pPr>
              <w:spacing w:line="520" w:lineRule="exact"/>
              <w:contextualSpacing/>
              <w:jc w:val="center"/>
              <w:rPr>
                <w:rFonts w:ascii="仿宋" w:hAnsi="仿宋" w:eastAsia="仿宋"/>
                <w:b/>
                <w:sz w:val="28"/>
                <w:szCs w:val="28"/>
              </w:rPr>
            </w:pPr>
            <w:r>
              <w:rPr>
                <w:rFonts w:hint="eastAsia" w:ascii="仿宋" w:hAnsi="仿宋" w:eastAsia="仿宋"/>
                <w:b/>
                <w:sz w:val="28"/>
                <w:szCs w:val="28"/>
              </w:rPr>
              <w:t>高职阶段</w:t>
            </w:r>
          </w:p>
          <w:p w14:paraId="7AF03D4D">
            <w:pPr>
              <w:spacing w:line="520" w:lineRule="exact"/>
              <w:contextualSpacing/>
              <w:jc w:val="center"/>
              <w:rPr>
                <w:rFonts w:ascii="仿宋" w:hAnsi="仿宋" w:eastAsia="仿宋"/>
                <w:b/>
                <w:sz w:val="28"/>
                <w:szCs w:val="28"/>
              </w:rPr>
            </w:pPr>
            <w:r>
              <w:rPr>
                <w:rFonts w:hint="eastAsia" w:ascii="仿宋" w:hAnsi="仿宋" w:eastAsia="仿宋"/>
                <w:b/>
                <w:sz w:val="28"/>
                <w:szCs w:val="28"/>
              </w:rPr>
              <w:t>专业名称</w:t>
            </w:r>
          </w:p>
        </w:tc>
        <w:tc>
          <w:tcPr>
            <w:tcW w:w="2268" w:type="dxa"/>
            <w:vAlign w:val="center"/>
          </w:tcPr>
          <w:p w14:paraId="6D6CAF93">
            <w:pPr>
              <w:spacing w:line="520" w:lineRule="exact"/>
              <w:contextualSpacing/>
              <w:jc w:val="center"/>
              <w:rPr>
                <w:rFonts w:ascii="仿宋" w:hAnsi="仿宋" w:eastAsia="仿宋"/>
                <w:b/>
                <w:sz w:val="28"/>
                <w:szCs w:val="28"/>
              </w:rPr>
            </w:pPr>
            <w:r>
              <w:rPr>
                <w:rFonts w:hint="eastAsia" w:ascii="仿宋" w:hAnsi="仿宋" w:eastAsia="仿宋"/>
                <w:b/>
                <w:sz w:val="28"/>
                <w:szCs w:val="28"/>
              </w:rPr>
              <w:t>对接本科</w:t>
            </w:r>
          </w:p>
          <w:p w14:paraId="7D989D4C">
            <w:pPr>
              <w:spacing w:line="520" w:lineRule="exact"/>
              <w:contextualSpacing/>
              <w:jc w:val="center"/>
              <w:rPr>
                <w:rFonts w:ascii="仿宋" w:hAnsi="仿宋" w:eastAsia="仿宋"/>
                <w:b/>
                <w:sz w:val="28"/>
                <w:szCs w:val="28"/>
              </w:rPr>
            </w:pPr>
            <w:r>
              <w:rPr>
                <w:rFonts w:hint="eastAsia" w:ascii="仿宋" w:hAnsi="仿宋" w:eastAsia="仿宋"/>
                <w:b/>
                <w:sz w:val="28"/>
                <w:szCs w:val="28"/>
              </w:rPr>
              <w:t>专业名称</w:t>
            </w:r>
          </w:p>
        </w:tc>
        <w:tc>
          <w:tcPr>
            <w:tcW w:w="2126" w:type="dxa"/>
            <w:vAlign w:val="center"/>
          </w:tcPr>
          <w:p w14:paraId="62D77966">
            <w:pPr>
              <w:spacing w:line="520" w:lineRule="exact"/>
              <w:contextualSpacing/>
              <w:jc w:val="center"/>
              <w:rPr>
                <w:rFonts w:ascii="仿宋" w:hAnsi="仿宋" w:eastAsia="仿宋"/>
                <w:b/>
                <w:sz w:val="28"/>
                <w:szCs w:val="28"/>
              </w:rPr>
            </w:pPr>
            <w:r>
              <w:rPr>
                <w:rFonts w:hint="eastAsia" w:ascii="仿宋" w:hAnsi="仿宋" w:eastAsia="仿宋"/>
                <w:b/>
                <w:sz w:val="28"/>
                <w:szCs w:val="28"/>
              </w:rPr>
              <w:t>专业课考试科目1</w:t>
            </w:r>
          </w:p>
        </w:tc>
        <w:tc>
          <w:tcPr>
            <w:tcW w:w="2410" w:type="dxa"/>
            <w:vAlign w:val="center"/>
          </w:tcPr>
          <w:p w14:paraId="7F592394">
            <w:pPr>
              <w:spacing w:line="520" w:lineRule="exact"/>
              <w:contextualSpacing/>
              <w:jc w:val="center"/>
              <w:rPr>
                <w:rFonts w:ascii="仿宋" w:hAnsi="仿宋" w:eastAsia="仿宋"/>
                <w:b/>
                <w:sz w:val="28"/>
                <w:szCs w:val="28"/>
              </w:rPr>
            </w:pPr>
            <w:r>
              <w:rPr>
                <w:rFonts w:hint="eastAsia" w:ascii="仿宋" w:hAnsi="仿宋" w:eastAsia="仿宋"/>
                <w:b/>
                <w:sz w:val="28"/>
                <w:szCs w:val="28"/>
              </w:rPr>
              <w:t>专业课考试科目2</w:t>
            </w:r>
          </w:p>
        </w:tc>
      </w:tr>
      <w:tr w14:paraId="72D0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14:paraId="192FE7C5">
            <w:pPr>
              <w:spacing w:line="520" w:lineRule="exact"/>
              <w:contextualSpacing/>
              <w:jc w:val="center"/>
              <w:rPr>
                <w:rFonts w:ascii="仿宋" w:hAnsi="仿宋" w:eastAsia="仿宋"/>
                <w:sz w:val="28"/>
                <w:szCs w:val="28"/>
                <w:highlight w:val="yellow"/>
              </w:rPr>
            </w:pPr>
            <w:r>
              <w:rPr>
                <w:rFonts w:hint="eastAsia" w:ascii="仿宋" w:hAnsi="仿宋" w:eastAsia="仿宋"/>
                <w:sz w:val="28"/>
                <w:szCs w:val="28"/>
              </w:rPr>
              <w:t>人力资源管理</w:t>
            </w:r>
          </w:p>
        </w:tc>
        <w:tc>
          <w:tcPr>
            <w:tcW w:w="2268" w:type="dxa"/>
            <w:vAlign w:val="center"/>
          </w:tcPr>
          <w:p w14:paraId="5DDB3A72">
            <w:pPr>
              <w:spacing w:line="520" w:lineRule="exact"/>
              <w:contextualSpacing/>
              <w:rPr>
                <w:rFonts w:ascii="仿宋" w:hAnsi="仿宋" w:eastAsia="仿宋"/>
                <w:sz w:val="28"/>
                <w:szCs w:val="28"/>
              </w:rPr>
            </w:pPr>
            <w:r>
              <w:rPr>
                <w:rFonts w:hint="eastAsia" w:ascii="仿宋" w:hAnsi="仿宋" w:eastAsia="仿宋"/>
                <w:sz w:val="28"/>
                <w:szCs w:val="28"/>
              </w:rPr>
              <w:t>人力</w:t>
            </w:r>
            <w:r>
              <w:rPr>
                <w:rFonts w:ascii="仿宋" w:hAnsi="仿宋" w:eastAsia="仿宋"/>
                <w:sz w:val="28"/>
                <w:szCs w:val="28"/>
              </w:rPr>
              <w:t>资源管理</w:t>
            </w:r>
          </w:p>
        </w:tc>
        <w:tc>
          <w:tcPr>
            <w:tcW w:w="2126" w:type="dxa"/>
            <w:vAlign w:val="center"/>
          </w:tcPr>
          <w:p w14:paraId="3E5E0500">
            <w:pPr>
              <w:spacing w:line="520" w:lineRule="exact"/>
              <w:contextualSpacing/>
              <w:jc w:val="center"/>
              <w:rPr>
                <w:rFonts w:ascii="仿宋" w:hAnsi="仿宋" w:eastAsia="仿宋"/>
                <w:sz w:val="28"/>
                <w:szCs w:val="28"/>
              </w:rPr>
            </w:pPr>
            <w:r>
              <w:rPr>
                <w:rFonts w:hint="eastAsia" w:ascii="仿宋" w:hAnsi="仿宋" w:eastAsia="仿宋"/>
                <w:sz w:val="28"/>
                <w:szCs w:val="28"/>
              </w:rPr>
              <w:t>管理学</w:t>
            </w:r>
          </w:p>
        </w:tc>
        <w:tc>
          <w:tcPr>
            <w:tcW w:w="2410" w:type="dxa"/>
            <w:vAlign w:val="center"/>
          </w:tcPr>
          <w:p w14:paraId="37F2A5D2">
            <w:pPr>
              <w:spacing w:line="520" w:lineRule="exact"/>
              <w:contextualSpacing/>
              <w:jc w:val="center"/>
              <w:rPr>
                <w:rFonts w:ascii="仿宋" w:hAnsi="仿宋" w:eastAsia="仿宋"/>
                <w:sz w:val="28"/>
                <w:szCs w:val="28"/>
              </w:rPr>
            </w:pPr>
            <w:r>
              <w:rPr>
                <w:rFonts w:hint="eastAsia" w:ascii="仿宋" w:hAnsi="仿宋" w:eastAsia="仿宋"/>
                <w:sz w:val="28"/>
                <w:szCs w:val="28"/>
              </w:rPr>
              <w:t>招聘</w:t>
            </w:r>
            <w:r>
              <w:rPr>
                <w:rFonts w:ascii="仿宋" w:hAnsi="仿宋" w:eastAsia="仿宋"/>
                <w:sz w:val="28"/>
                <w:szCs w:val="28"/>
              </w:rPr>
              <w:t>与测评管理</w:t>
            </w:r>
          </w:p>
        </w:tc>
      </w:tr>
      <w:tr w14:paraId="3331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18" w:type="dxa"/>
            <w:vAlign w:val="center"/>
          </w:tcPr>
          <w:p w14:paraId="3878B402">
            <w:pPr>
              <w:spacing w:line="520" w:lineRule="exact"/>
              <w:contextualSpacing/>
              <w:jc w:val="center"/>
              <w:rPr>
                <w:rFonts w:ascii="仿宋" w:hAnsi="仿宋" w:eastAsia="仿宋"/>
                <w:sz w:val="28"/>
                <w:szCs w:val="28"/>
                <w:highlight w:val="yellow"/>
              </w:rPr>
            </w:pPr>
            <w:r>
              <w:rPr>
                <w:rFonts w:hint="eastAsia" w:ascii="仿宋" w:hAnsi="仿宋" w:eastAsia="仿宋"/>
                <w:sz w:val="28"/>
                <w:szCs w:val="28"/>
              </w:rPr>
              <w:t>劳动与社会保障</w:t>
            </w:r>
          </w:p>
        </w:tc>
        <w:tc>
          <w:tcPr>
            <w:tcW w:w="2268" w:type="dxa"/>
            <w:vAlign w:val="center"/>
          </w:tcPr>
          <w:p w14:paraId="099E8C5E">
            <w:pPr>
              <w:spacing w:line="520" w:lineRule="exact"/>
              <w:contextualSpacing/>
              <w:jc w:val="center"/>
              <w:rPr>
                <w:rFonts w:ascii="仿宋" w:hAnsi="仿宋" w:eastAsia="仿宋"/>
                <w:sz w:val="28"/>
                <w:szCs w:val="28"/>
              </w:rPr>
            </w:pPr>
            <w:r>
              <w:rPr>
                <w:rFonts w:hint="eastAsia" w:ascii="仿宋" w:hAnsi="仿宋" w:eastAsia="仿宋"/>
                <w:sz w:val="28"/>
                <w:szCs w:val="28"/>
              </w:rPr>
              <w:t>劳动与</w:t>
            </w:r>
            <w:r>
              <w:rPr>
                <w:rFonts w:ascii="仿宋" w:hAnsi="仿宋" w:eastAsia="仿宋"/>
                <w:sz w:val="28"/>
                <w:szCs w:val="28"/>
              </w:rPr>
              <w:t>社会保障</w:t>
            </w:r>
          </w:p>
        </w:tc>
        <w:tc>
          <w:tcPr>
            <w:tcW w:w="2126" w:type="dxa"/>
            <w:vAlign w:val="center"/>
          </w:tcPr>
          <w:p w14:paraId="227BAB3F">
            <w:pPr>
              <w:spacing w:line="520" w:lineRule="exact"/>
              <w:contextualSpacing/>
              <w:jc w:val="center"/>
              <w:rPr>
                <w:rFonts w:ascii="仿宋" w:hAnsi="仿宋" w:eastAsia="仿宋"/>
                <w:sz w:val="28"/>
                <w:szCs w:val="28"/>
              </w:rPr>
            </w:pPr>
            <w:r>
              <w:rPr>
                <w:rFonts w:hint="eastAsia" w:ascii="仿宋" w:hAnsi="仿宋" w:eastAsia="仿宋"/>
                <w:sz w:val="28"/>
                <w:szCs w:val="28"/>
              </w:rPr>
              <w:t>管理</w:t>
            </w:r>
            <w:r>
              <w:rPr>
                <w:rFonts w:ascii="仿宋" w:hAnsi="仿宋" w:eastAsia="仿宋"/>
                <w:sz w:val="28"/>
                <w:szCs w:val="28"/>
              </w:rPr>
              <w:t>学</w:t>
            </w:r>
          </w:p>
        </w:tc>
        <w:tc>
          <w:tcPr>
            <w:tcW w:w="2410" w:type="dxa"/>
            <w:vAlign w:val="center"/>
          </w:tcPr>
          <w:p w14:paraId="7D655318">
            <w:pPr>
              <w:spacing w:line="520" w:lineRule="exact"/>
              <w:contextualSpacing/>
              <w:jc w:val="center"/>
              <w:rPr>
                <w:rFonts w:ascii="仿宋" w:hAnsi="仿宋" w:eastAsia="仿宋"/>
                <w:sz w:val="28"/>
                <w:szCs w:val="28"/>
              </w:rPr>
            </w:pPr>
            <w:r>
              <w:rPr>
                <w:rFonts w:hint="eastAsia" w:ascii="仿宋" w:hAnsi="仿宋" w:eastAsia="仿宋"/>
                <w:sz w:val="28"/>
                <w:szCs w:val="28"/>
              </w:rPr>
              <w:t>社会</w:t>
            </w:r>
            <w:r>
              <w:rPr>
                <w:rFonts w:ascii="仿宋" w:hAnsi="仿宋" w:eastAsia="仿宋"/>
                <w:sz w:val="28"/>
                <w:szCs w:val="28"/>
              </w:rPr>
              <w:t>保险理论与实务</w:t>
            </w:r>
          </w:p>
        </w:tc>
      </w:tr>
    </w:tbl>
    <w:p w14:paraId="1637F6EF">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平时科目考试，重点考察学生在职业</w:t>
      </w:r>
      <w:r>
        <w:rPr>
          <w:rFonts w:ascii="仿宋" w:hAnsi="仿宋" w:eastAsia="仿宋"/>
          <w:sz w:val="32"/>
          <w:szCs w:val="32"/>
        </w:rPr>
        <w:t>教育</w:t>
      </w:r>
      <w:r>
        <w:rPr>
          <w:rFonts w:hint="eastAsia" w:ascii="仿宋" w:hAnsi="仿宋" w:eastAsia="仿宋"/>
          <w:sz w:val="32"/>
          <w:szCs w:val="32"/>
        </w:rPr>
        <w:t>阶段学习期间的平</w:t>
      </w:r>
      <w:bookmarkStart w:id="0" w:name="_GoBack"/>
      <w:bookmarkEnd w:id="0"/>
      <w:r>
        <w:rPr>
          <w:rFonts w:hint="eastAsia" w:ascii="仿宋" w:hAnsi="仿宋" w:eastAsia="仿宋"/>
          <w:sz w:val="32"/>
          <w:szCs w:val="32"/>
        </w:rPr>
        <w:t>时成绩，依据学生在职业教育阶段前五个学期所修读教学计划规定的全部必修课程的平均成绩（百分制成绩，满分100分，补考成绩按60分折算）。平时科目考试平均成绩由北京劳动保障职业学院向我校提供。</w:t>
      </w:r>
    </w:p>
    <w:p w14:paraId="7C08FEFF">
      <w:pPr>
        <w:spacing w:line="520" w:lineRule="exact"/>
        <w:ind w:firstLine="640" w:firstLineChars="200"/>
        <w:rPr>
          <w:rFonts w:ascii="仿宋" w:hAnsi="仿宋" w:eastAsia="仿宋"/>
          <w:sz w:val="32"/>
          <w:szCs w:val="32"/>
        </w:rPr>
      </w:pPr>
      <w:r>
        <w:rPr>
          <w:rFonts w:hint="eastAsia" w:ascii="仿宋" w:hAnsi="仿宋" w:eastAsia="仿宋"/>
          <w:sz w:val="32"/>
          <w:szCs w:val="32"/>
        </w:rPr>
        <w:t>能力突出项目主要包括学生思想品德、技术技能等方面，由北京劳动保障职业学院负责制定能力突出项目评价标准（见附件3），经</w:t>
      </w:r>
      <w:r>
        <w:rPr>
          <w:rFonts w:ascii="仿宋" w:hAnsi="仿宋" w:eastAsia="仿宋"/>
          <w:sz w:val="32"/>
          <w:szCs w:val="32"/>
        </w:rPr>
        <w:t>两校共同商定后公布执行，</w:t>
      </w:r>
      <w:r>
        <w:rPr>
          <w:rFonts w:hint="eastAsia" w:ascii="仿宋" w:hAnsi="仿宋" w:eastAsia="仿宋"/>
          <w:sz w:val="32"/>
          <w:szCs w:val="32"/>
        </w:rPr>
        <w:t>能力突出项目累计加分最高不超过10分，超出按1</w:t>
      </w:r>
      <w:r>
        <w:rPr>
          <w:rFonts w:ascii="仿宋" w:hAnsi="仿宋" w:eastAsia="仿宋"/>
          <w:sz w:val="32"/>
          <w:szCs w:val="32"/>
        </w:rPr>
        <w:t>0</w:t>
      </w:r>
      <w:r>
        <w:rPr>
          <w:rFonts w:hint="eastAsia" w:ascii="仿宋" w:hAnsi="仿宋" w:eastAsia="仿宋"/>
          <w:sz w:val="32"/>
          <w:szCs w:val="32"/>
        </w:rPr>
        <w:t>分计算。北京劳动保障职业学院组织学生填报相关信息和证明材料，形成学生能力突出项目加分名单，提供给我校使用。</w:t>
      </w:r>
    </w:p>
    <w:p w14:paraId="002B641E">
      <w:pPr>
        <w:spacing w:line="520" w:lineRule="exact"/>
        <w:ind w:firstLine="643" w:firstLineChars="200"/>
        <w:contextualSpacing/>
        <w:rPr>
          <w:rFonts w:ascii="仿宋" w:hAnsi="仿宋" w:eastAsia="仿宋"/>
          <w:sz w:val="32"/>
          <w:szCs w:val="32"/>
        </w:rPr>
      </w:pPr>
      <w:r>
        <w:rPr>
          <w:rFonts w:hint="eastAsia" w:ascii="仿宋" w:hAnsi="仿宋" w:eastAsia="仿宋"/>
          <w:b/>
          <w:sz w:val="32"/>
          <w:szCs w:val="32"/>
        </w:rPr>
        <w:t>综合评价总成绩</w:t>
      </w:r>
      <w:r>
        <w:rPr>
          <w:rFonts w:hint="eastAsia" w:ascii="仿宋" w:hAnsi="仿宋" w:eastAsia="仿宋"/>
          <w:sz w:val="32"/>
          <w:szCs w:val="32"/>
        </w:rPr>
        <w:t>=2门专业课考试平均成绩（满分100分）×40%+平时科目考试平均成绩（满分100分）×60%+能力突出项目成绩（满分10分）。</w:t>
      </w:r>
    </w:p>
    <w:p w14:paraId="1BAC8088">
      <w:pPr>
        <w:spacing w:line="520" w:lineRule="exact"/>
        <w:ind w:firstLine="643" w:firstLineChars="200"/>
        <w:contextualSpacing/>
        <w:rPr>
          <w:rFonts w:ascii="仿宋" w:hAnsi="仿宋" w:eastAsia="仿宋"/>
          <w:b/>
          <w:sz w:val="32"/>
          <w:szCs w:val="32"/>
        </w:rPr>
      </w:pPr>
      <w:r>
        <w:rPr>
          <w:rFonts w:hint="eastAsia" w:ascii="仿宋" w:hAnsi="仿宋" w:eastAsia="仿宋"/>
          <w:b/>
          <w:sz w:val="32"/>
          <w:szCs w:val="32"/>
        </w:rPr>
        <w:t>五、录取</w:t>
      </w:r>
    </w:p>
    <w:p w14:paraId="43CBACA3">
      <w:pPr>
        <w:pStyle w:val="8"/>
        <w:spacing w:before="0" w:beforeAutospacing="0" w:after="0" w:afterAutospacing="0" w:line="520" w:lineRule="exact"/>
        <w:ind w:firstLine="640" w:firstLineChars="200"/>
        <w:contextualSpacing/>
        <w:rPr>
          <w:rStyle w:val="12"/>
          <w:rFonts w:ascii="仿宋" w:hAnsi="仿宋" w:eastAsia="仿宋"/>
          <w:b w:val="0"/>
          <w:sz w:val="32"/>
          <w:szCs w:val="32"/>
        </w:rPr>
      </w:pPr>
      <w:r>
        <w:rPr>
          <w:rFonts w:hint="eastAsia" w:ascii="仿宋" w:hAnsi="仿宋" w:eastAsia="仿宋"/>
          <w:sz w:val="32"/>
          <w:szCs w:val="32"/>
        </w:rPr>
        <w:t>贯通培养项目专升本的转段</w:t>
      </w:r>
      <w:r>
        <w:rPr>
          <w:rFonts w:hint="eastAsia" w:ascii="仿宋" w:hAnsi="仿宋" w:eastAsia="仿宋"/>
          <w:bCs/>
          <w:sz w:val="32"/>
          <w:szCs w:val="32"/>
        </w:rPr>
        <w:t>录取工作坚决贯彻公平竞争、公正选拔、公开透明的原则，德智体美劳全面考核，</w:t>
      </w:r>
      <w:r>
        <w:rPr>
          <w:rFonts w:hint="eastAsia" w:ascii="仿宋" w:hAnsi="仿宋" w:eastAsia="仿宋"/>
          <w:b/>
          <w:bCs/>
          <w:sz w:val="32"/>
          <w:szCs w:val="32"/>
        </w:rPr>
        <w:t>综合评价总成绩</w:t>
      </w:r>
      <w:r>
        <w:rPr>
          <w:rFonts w:hint="eastAsia" w:ascii="仿宋" w:hAnsi="仿宋" w:eastAsia="仿宋"/>
          <w:bCs/>
          <w:sz w:val="32"/>
          <w:szCs w:val="32"/>
        </w:rPr>
        <w:t>达到60分（含60分）以上者，予以预录取</w:t>
      </w:r>
      <w:r>
        <w:rPr>
          <w:rStyle w:val="12"/>
          <w:rFonts w:hint="eastAsia" w:ascii="仿宋" w:hAnsi="仿宋" w:eastAsia="仿宋"/>
          <w:b w:val="0"/>
          <w:sz w:val="32"/>
          <w:szCs w:val="32"/>
        </w:rPr>
        <w:t>，形成预录取名单。预录取名单在我校和北京劳动保障职业学院网站公示，公示期为7天。公示无异议后，我校将预录取名单报北京教育考试院备案。</w:t>
      </w:r>
    </w:p>
    <w:p w14:paraId="77AAB929">
      <w:pPr>
        <w:pStyle w:val="8"/>
        <w:spacing w:before="0" w:beforeAutospacing="0" w:after="0" w:afterAutospacing="0" w:line="520" w:lineRule="exact"/>
        <w:ind w:firstLine="640" w:firstLineChars="200"/>
        <w:contextualSpacing/>
        <w:rPr>
          <w:rFonts w:ascii="仿宋" w:hAnsi="仿宋" w:eastAsia="仿宋"/>
          <w:sz w:val="32"/>
          <w:szCs w:val="32"/>
        </w:rPr>
      </w:pPr>
      <w:r>
        <w:rPr>
          <w:rFonts w:hint="eastAsia" w:ascii="仿宋" w:hAnsi="仿宋" w:eastAsia="仿宋"/>
          <w:sz w:val="32"/>
          <w:szCs w:val="32"/>
        </w:rPr>
        <w:t>预录取学生在取得高职毕业证书后方可正式办理相关入学手续。</w:t>
      </w:r>
      <w:r>
        <w:rPr>
          <w:rFonts w:hint="eastAsia" w:ascii="仿宋" w:hAnsi="仿宋" w:eastAsia="仿宋"/>
          <w:color w:val="000000"/>
          <w:sz w:val="32"/>
          <w:szCs w:val="32"/>
        </w:rPr>
        <w:t>新生入学后，</w:t>
      </w:r>
      <w:r>
        <w:rPr>
          <w:rFonts w:hint="eastAsia" w:ascii="仿宋" w:hAnsi="仿宋" w:eastAsia="仿宋"/>
          <w:sz w:val="32"/>
          <w:szCs w:val="32"/>
        </w:rPr>
        <w:t>我校将</w:t>
      </w:r>
      <w:r>
        <w:rPr>
          <w:rFonts w:ascii="仿宋" w:hAnsi="仿宋" w:eastAsia="仿宋"/>
          <w:sz w:val="32"/>
          <w:szCs w:val="32"/>
        </w:rPr>
        <w:t>对录取</w:t>
      </w:r>
      <w:r>
        <w:rPr>
          <w:rFonts w:hint="eastAsia" w:ascii="仿宋" w:hAnsi="仿宋" w:eastAsia="仿宋"/>
          <w:sz w:val="32"/>
          <w:szCs w:val="32"/>
        </w:rPr>
        <w:t>新</w:t>
      </w:r>
      <w:r>
        <w:rPr>
          <w:rFonts w:ascii="仿宋" w:hAnsi="仿宋" w:eastAsia="仿宋"/>
          <w:sz w:val="32"/>
          <w:szCs w:val="32"/>
        </w:rPr>
        <w:t>生按照招生录取有关规定进行复查，如发现不符合录取条件或有</w:t>
      </w:r>
      <w:r>
        <w:rPr>
          <w:rFonts w:hint="eastAsia" w:ascii="仿宋" w:hAnsi="仿宋" w:eastAsia="仿宋"/>
          <w:sz w:val="32"/>
          <w:szCs w:val="32"/>
        </w:rPr>
        <w:t>舞弊行为、</w:t>
      </w:r>
      <w:r>
        <w:rPr>
          <w:rFonts w:ascii="仿宋" w:hAnsi="仿宋" w:eastAsia="仿宋"/>
          <w:sz w:val="32"/>
          <w:szCs w:val="32"/>
        </w:rPr>
        <w:t>弄虚作假者以及体检复查不合格者</w:t>
      </w:r>
      <w:r>
        <w:rPr>
          <w:rFonts w:hint="eastAsia" w:ascii="仿宋" w:hAnsi="仿宋" w:eastAsia="仿宋"/>
          <w:sz w:val="32"/>
          <w:szCs w:val="32"/>
        </w:rPr>
        <w:t>，将</w:t>
      </w:r>
      <w:r>
        <w:rPr>
          <w:rFonts w:ascii="仿宋" w:hAnsi="仿宋" w:eastAsia="仿宋"/>
          <w:sz w:val="32"/>
          <w:szCs w:val="32"/>
        </w:rPr>
        <w:t>取消</w:t>
      </w:r>
      <w:r>
        <w:rPr>
          <w:rFonts w:hint="eastAsia" w:ascii="仿宋" w:hAnsi="仿宋" w:eastAsia="仿宋"/>
          <w:sz w:val="32"/>
          <w:szCs w:val="32"/>
        </w:rPr>
        <w:t>其</w:t>
      </w:r>
      <w:r>
        <w:rPr>
          <w:rFonts w:ascii="仿宋" w:hAnsi="仿宋" w:eastAsia="仿宋"/>
          <w:sz w:val="32"/>
          <w:szCs w:val="32"/>
        </w:rPr>
        <w:t>入学资格。</w:t>
      </w:r>
      <w:r>
        <w:rPr>
          <w:rFonts w:hint="eastAsia" w:ascii="仿宋" w:hAnsi="仿宋" w:eastAsia="仿宋"/>
          <w:sz w:val="32"/>
          <w:szCs w:val="32"/>
        </w:rPr>
        <w:t xml:space="preserve"> </w:t>
      </w:r>
    </w:p>
    <w:p w14:paraId="6B8E52D4">
      <w:pPr>
        <w:spacing w:line="520" w:lineRule="exact"/>
        <w:ind w:firstLine="643" w:firstLineChars="200"/>
        <w:contextualSpacing/>
        <w:rPr>
          <w:rFonts w:ascii="仿宋" w:hAnsi="仿宋" w:eastAsia="仿宋"/>
          <w:sz w:val="32"/>
          <w:szCs w:val="32"/>
        </w:rPr>
      </w:pPr>
      <w:r>
        <w:rPr>
          <w:rStyle w:val="12"/>
          <w:rFonts w:hint="eastAsia" w:ascii="仿宋" w:hAnsi="仿宋" w:eastAsia="仿宋"/>
          <w:bCs w:val="0"/>
          <w:sz w:val="32"/>
          <w:szCs w:val="32"/>
        </w:rPr>
        <w:t>六、</w:t>
      </w:r>
      <w:r>
        <w:rPr>
          <w:rFonts w:hint="eastAsia" w:ascii="仿宋" w:hAnsi="仿宋" w:eastAsia="仿宋"/>
          <w:b/>
          <w:sz w:val="32"/>
          <w:szCs w:val="32"/>
        </w:rPr>
        <w:t>负责贯通培养项目学院概况</w:t>
      </w:r>
    </w:p>
    <w:p w14:paraId="4E0C6F73">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1.</w:t>
      </w:r>
      <w:r>
        <w:rPr>
          <w:rFonts w:hint="eastAsia" w:ascii="仿宋" w:hAnsi="仿宋" w:eastAsia="仿宋"/>
          <w:b/>
          <w:sz w:val="32"/>
          <w:szCs w:val="32"/>
        </w:rPr>
        <w:t>学院名称：</w:t>
      </w:r>
      <w:r>
        <w:rPr>
          <w:rFonts w:hint="eastAsia" w:ascii="仿宋" w:hAnsi="仿宋" w:eastAsia="仿宋"/>
          <w:sz w:val="32"/>
          <w:szCs w:val="32"/>
        </w:rPr>
        <w:t>商务学院</w:t>
      </w:r>
    </w:p>
    <w:p w14:paraId="4E1C5FED">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2.</w:t>
      </w:r>
      <w:r>
        <w:rPr>
          <w:rFonts w:hint="eastAsia" w:ascii="仿宋" w:hAnsi="仿宋" w:eastAsia="仿宋"/>
          <w:b/>
          <w:sz w:val="32"/>
          <w:szCs w:val="32"/>
        </w:rPr>
        <w:t>就读地点：</w:t>
      </w:r>
      <w:r>
        <w:rPr>
          <w:rFonts w:hint="eastAsia" w:ascii="仿宋" w:hAnsi="仿宋" w:eastAsia="仿宋"/>
          <w:sz w:val="32"/>
          <w:szCs w:val="32"/>
        </w:rPr>
        <w:t>首都经济贸易大学红庙校区</w:t>
      </w:r>
    </w:p>
    <w:p w14:paraId="3198D613">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3</w:t>
      </w:r>
      <w:r>
        <w:rPr>
          <w:rFonts w:hint="eastAsia" w:ascii="仿宋" w:hAnsi="仿宋" w:eastAsia="仿宋"/>
          <w:b/>
          <w:sz w:val="32"/>
          <w:szCs w:val="32"/>
        </w:rPr>
        <w:t>.学院地址：</w:t>
      </w:r>
      <w:r>
        <w:rPr>
          <w:rFonts w:hint="eastAsia" w:ascii="仿宋" w:hAnsi="仿宋" w:eastAsia="仿宋"/>
          <w:sz w:val="32"/>
          <w:szCs w:val="32"/>
        </w:rPr>
        <w:t>北京市朝阳门外金台里2号</w:t>
      </w:r>
    </w:p>
    <w:p w14:paraId="4F595B9C">
      <w:pPr>
        <w:spacing w:line="520" w:lineRule="exact"/>
        <w:ind w:firstLine="643" w:firstLineChars="200"/>
        <w:contextualSpacing/>
        <w:rPr>
          <w:rFonts w:ascii="仿宋" w:hAnsi="仿宋" w:eastAsia="仿宋"/>
          <w:b/>
          <w:sz w:val="32"/>
          <w:szCs w:val="32"/>
        </w:rPr>
      </w:pPr>
      <w:r>
        <w:rPr>
          <w:rFonts w:hint="eastAsia" w:ascii="仿宋" w:hAnsi="仿宋" w:eastAsia="仿宋"/>
          <w:b/>
          <w:sz w:val="32"/>
          <w:szCs w:val="32"/>
        </w:rPr>
        <w:t>七、咨询电话及网址</w:t>
      </w:r>
    </w:p>
    <w:p w14:paraId="321C5F2B">
      <w:pPr>
        <w:spacing w:line="520" w:lineRule="exact"/>
        <w:ind w:firstLine="640" w:firstLineChars="200"/>
        <w:contextualSpacing/>
        <w:rPr>
          <w:rFonts w:ascii="仿宋" w:hAnsi="仿宋" w:eastAsia="仿宋"/>
          <w:sz w:val="32"/>
          <w:szCs w:val="32"/>
        </w:rPr>
      </w:pPr>
      <w:r>
        <w:rPr>
          <w:rFonts w:hint="eastAsia" w:ascii="仿宋" w:hAnsi="仿宋" w:eastAsia="仿宋"/>
          <w:sz w:val="32"/>
          <w:szCs w:val="32"/>
        </w:rPr>
        <w:t>咨询电话：（010）83952090</w:t>
      </w:r>
    </w:p>
    <w:p w14:paraId="057BB2E4">
      <w:pPr>
        <w:widowControl/>
        <w:shd w:val="clear" w:color="auto" w:fill="FFFFFF"/>
        <w:spacing w:line="52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 xml:space="preserve">学校网址：http:// </w:t>
      </w:r>
      <w:r>
        <w:fldChar w:fldCharType="begin"/>
      </w:r>
      <w:r>
        <w:instrText xml:space="preserve"> HYPERLINK "http://www.cueb.edu.cn" </w:instrText>
      </w:r>
      <w:r>
        <w:fldChar w:fldCharType="separate"/>
      </w:r>
      <w:r>
        <w:rPr>
          <w:rStyle w:val="13"/>
          <w:rFonts w:hint="eastAsia" w:ascii="仿宋" w:hAnsi="仿宋" w:eastAsia="仿宋" w:cs="宋体"/>
          <w:kern w:val="0"/>
          <w:sz w:val="32"/>
          <w:szCs w:val="32"/>
        </w:rPr>
        <w:t>www.cueb.edu.cn</w:t>
      </w:r>
      <w:r>
        <w:rPr>
          <w:rStyle w:val="13"/>
          <w:rFonts w:hint="eastAsia" w:ascii="仿宋" w:hAnsi="仿宋" w:eastAsia="仿宋" w:cs="宋体"/>
          <w:kern w:val="0"/>
          <w:sz w:val="32"/>
          <w:szCs w:val="32"/>
        </w:rPr>
        <w:fldChar w:fldCharType="end"/>
      </w:r>
    </w:p>
    <w:p w14:paraId="758A8621">
      <w:pPr>
        <w:widowControl/>
        <w:shd w:val="clear" w:color="auto" w:fill="FFFFFF"/>
        <w:spacing w:line="520" w:lineRule="exact"/>
        <w:ind w:firstLine="640" w:firstLineChars="200"/>
        <w:jc w:val="left"/>
        <w:rPr>
          <w:rFonts w:ascii="仿宋" w:hAnsi="仿宋" w:eastAsia="仿宋" w:cs="宋体"/>
          <w:kern w:val="0"/>
          <w:sz w:val="32"/>
          <w:szCs w:val="32"/>
        </w:rPr>
      </w:pPr>
      <w:r>
        <w:rPr>
          <w:rFonts w:hint="eastAsia" w:ascii="仿宋" w:hAnsi="仿宋" w:eastAsia="仿宋" w:cs="宋体"/>
          <w:kern w:val="0"/>
          <w:sz w:val="32"/>
          <w:szCs w:val="32"/>
        </w:rPr>
        <w:t>招生网址：http:// zs.cueb.edu.cn</w:t>
      </w:r>
    </w:p>
    <w:p w14:paraId="5E488DC2">
      <w:pPr>
        <w:spacing w:line="520" w:lineRule="exact"/>
        <w:ind w:right="160"/>
        <w:contextualSpacing/>
        <w:jc w:val="right"/>
        <w:rPr>
          <w:rFonts w:ascii="仿宋" w:hAnsi="仿宋" w:eastAsia="仿宋"/>
          <w:sz w:val="32"/>
          <w:szCs w:val="32"/>
        </w:rPr>
      </w:pPr>
    </w:p>
    <w:p w14:paraId="2073295D">
      <w:pPr>
        <w:spacing w:line="520" w:lineRule="exact"/>
        <w:ind w:right="160"/>
        <w:contextualSpacing/>
        <w:jc w:val="right"/>
        <w:rPr>
          <w:rFonts w:ascii="仿宋" w:hAnsi="仿宋" w:eastAsia="仿宋"/>
          <w:sz w:val="32"/>
          <w:szCs w:val="32"/>
        </w:rPr>
      </w:pPr>
    </w:p>
    <w:p w14:paraId="7D069F1C">
      <w:pPr>
        <w:spacing w:line="520" w:lineRule="exact"/>
        <w:ind w:right="160"/>
        <w:contextualSpacing/>
        <w:jc w:val="right"/>
        <w:rPr>
          <w:rFonts w:ascii="仿宋" w:hAnsi="仿宋" w:eastAsia="仿宋"/>
          <w:sz w:val="32"/>
          <w:szCs w:val="32"/>
        </w:rPr>
      </w:pPr>
    </w:p>
    <w:p w14:paraId="0212FC92">
      <w:pPr>
        <w:spacing w:line="520" w:lineRule="exact"/>
        <w:ind w:right="160"/>
        <w:contextualSpacing/>
        <w:jc w:val="right"/>
        <w:rPr>
          <w:rFonts w:ascii="仿宋" w:hAnsi="仿宋" w:eastAsia="仿宋"/>
          <w:sz w:val="32"/>
          <w:szCs w:val="32"/>
        </w:rPr>
      </w:pPr>
    </w:p>
    <w:p w14:paraId="2D702935">
      <w:pPr>
        <w:spacing w:line="520" w:lineRule="exact"/>
        <w:ind w:right="160"/>
        <w:contextualSpacing/>
        <w:jc w:val="right"/>
        <w:rPr>
          <w:rFonts w:ascii="仿宋" w:hAnsi="仿宋" w:eastAsia="仿宋"/>
          <w:sz w:val="32"/>
          <w:szCs w:val="32"/>
        </w:rPr>
      </w:pPr>
    </w:p>
    <w:p w14:paraId="42E9AAA0">
      <w:pPr>
        <w:spacing w:line="520" w:lineRule="exact"/>
        <w:ind w:right="160"/>
        <w:contextualSpacing/>
        <w:jc w:val="right"/>
        <w:rPr>
          <w:rFonts w:ascii="仿宋" w:hAnsi="仿宋" w:eastAsia="仿宋"/>
          <w:sz w:val="32"/>
          <w:szCs w:val="32"/>
        </w:rPr>
      </w:pPr>
    </w:p>
    <w:p w14:paraId="19439AD6">
      <w:pPr>
        <w:spacing w:line="520" w:lineRule="exact"/>
        <w:ind w:right="160"/>
        <w:contextualSpacing/>
        <w:jc w:val="right"/>
        <w:rPr>
          <w:rFonts w:ascii="仿宋" w:hAnsi="仿宋" w:eastAsia="仿宋"/>
          <w:sz w:val="32"/>
          <w:szCs w:val="32"/>
        </w:rPr>
      </w:pPr>
      <w:r>
        <w:rPr>
          <w:rFonts w:hint="eastAsia" w:ascii="仿宋" w:hAnsi="仿宋" w:eastAsia="仿宋"/>
          <w:sz w:val="32"/>
          <w:szCs w:val="32"/>
        </w:rPr>
        <w:t>首都经济贸易大学</w:t>
      </w:r>
    </w:p>
    <w:p w14:paraId="5197CDFF">
      <w:pPr>
        <w:spacing w:line="520" w:lineRule="exact"/>
        <w:contextualSpacing/>
        <w:jc w:val="righ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sz w:val="32"/>
          <w:szCs w:val="32"/>
          <w:highlight w:val="none"/>
        </w:rPr>
        <w:t>2025年3月</w:t>
      </w:r>
      <w:r>
        <w:rPr>
          <w:rFonts w:ascii="仿宋" w:hAnsi="仿宋" w:eastAsia="仿宋"/>
          <w:sz w:val="32"/>
          <w:szCs w:val="32"/>
          <w:highlight w:val="none"/>
        </w:rPr>
        <w:t>1</w:t>
      </w:r>
      <w:r>
        <w:rPr>
          <w:rFonts w:hint="eastAsia" w:ascii="仿宋" w:hAnsi="仿宋" w:eastAsia="仿宋"/>
          <w:sz w:val="32"/>
          <w:szCs w:val="32"/>
          <w:highlight w:val="none"/>
        </w:rPr>
        <w:t>3日</w:t>
      </w:r>
    </w:p>
    <w:p w14:paraId="47C689B3">
      <w:pPr>
        <w:contextualSpacing/>
        <w:jc w:val="left"/>
        <w:rPr>
          <w:rFonts w:ascii="仿宋" w:hAnsi="仿宋" w:eastAsia="仿宋"/>
          <w:sz w:val="32"/>
          <w:szCs w:val="32"/>
        </w:rPr>
      </w:pPr>
    </w:p>
    <w:p w14:paraId="269D7E9B">
      <w:pPr>
        <w:contextualSpacing/>
        <w:jc w:val="left"/>
        <w:rPr>
          <w:rFonts w:ascii="仿宋" w:hAnsi="仿宋" w:eastAsia="仿宋"/>
          <w:sz w:val="32"/>
          <w:szCs w:val="32"/>
        </w:rPr>
      </w:pPr>
    </w:p>
    <w:p w14:paraId="030ECD57">
      <w:pPr>
        <w:contextualSpacing/>
        <w:jc w:val="left"/>
        <w:rPr>
          <w:rFonts w:ascii="仿宋" w:hAnsi="仿宋" w:eastAsia="仿宋"/>
          <w:sz w:val="28"/>
          <w:szCs w:val="28"/>
        </w:rPr>
      </w:pPr>
      <w:r>
        <w:rPr>
          <w:rFonts w:hint="eastAsia" w:ascii="仿宋" w:hAnsi="仿宋" w:eastAsia="仿宋"/>
          <w:sz w:val="28"/>
          <w:szCs w:val="28"/>
        </w:rPr>
        <w:t>附件1：首都经济贸易大学</w:t>
      </w:r>
      <w:r>
        <w:rPr>
          <w:rFonts w:hint="eastAsia" w:ascii="仿宋" w:hAnsi="仿宋" w:eastAsia="仿宋"/>
          <w:sz w:val="28"/>
          <w:szCs w:val="28"/>
          <w:highlight w:val="none"/>
        </w:rPr>
        <w:t>2025</w:t>
      </w:r>
      <w:r>
        <w:rPr>
          <w:rFonts w:hint="eastAsia" w:ascii="仿宋" w:hAnsi="仿宋" w:eastAsia="仿宋"/>
          <w:sz w:val="28"/>
          <w:szCs w:val="28"/>
        </w:rPr>
        <w:t>年贯通培养项目专升本转段专业课考试大纲</w:t>
      </w:r>
    </w:p>
    <w:p w14:paraId="69E82B97">
      <w:pPr>
        <w:contextualSpacing/>
        <w:jc w:val="left"/>
        <w:rPr>
          <w:rFonts w:ascii="仿宋" w:hAnsi="仿宋" w:eastAsia="仿宋"/>
          <w:sz w:val="28"/>
          <w:szCs w:val="28"/>
        </w:rPr>
      </w:pPr>
      <w:r>
        <w:rPr>
          <w:rFonts w:hint="eastAsia" w:ascii="仿宋" w:hAnsi="仿宋" w:eastAsia="仿宋"/>
          <w:sz w:val="28"/>
          <w:szCs w:val="28"/>
        </w:rPr>
        <w:t>附件2：首都经济贸易大学</w:t>
      </w:r>
      <w:r>
        <w:rPr>
          <w:rFonts w:hint="eastAsia" w:ascii="仿宋" w:hAnsi="仿宋" w:eastAsia="仿宋"/>
          <w:sz w:val="28"/>
          <w:szCs w:val="28"/>
          <w:highlight w:val="none"/>
        </w:rPr>
        <w:t>2025</w:t>
      </w:r>
      <w:r>
        <w:rPr>
          <w:rFonts w:hint="eastAsia" w:ascii="仿宋" w:hAnsi="仿宋" w:eastAsia="仿宋"/>
          <w:sz w:val="28"/>
          <w:szCs w:val="28"/>
        </w:rPr>
        <w:t>年贯通培养项目专升本转段专业课考试参考书目</w:t>
      </w:r>
    </w:p>
    <w:p w14:paraId="0ADD276A">
      <w:pPr>
        <w:contextualSpacing/>
        <w:jc w:val="left"/>
        <w:rPr>
          <w:rFonts w:ascii="仿宋" w:hAnsi="仿宋" w:eastAsia="仿宋"/>
          <w:sz w:val="28"/>
          <w:szCs w:val="28"/>
        </w:rPr>
      </w:pPr>
      <w:r>
        <w:rPr>
          <w:rFonts w:hint="eastAsia" w:ascii="仿宋" w:hAnsi="仿宋" w:eastAsia="仿宋"/>
          <w:sz w:val="28"/>
          <w:szCs w:val="28"/>
        </w:rPr>
        <w:t>附件3：首都经济贸易大学</w:t>
      </w:r>
      <w:r>
        <w:rPr>
          <w:rFonts w:hint="eastAsia" w:ascii="仿宋" w:hAnsi="仿宋" w:eastAsia="仿宋"/>
          <w:sz w:val="28"/>
          <w:szCs w:val="28"/>
          <w:highlight w:val="none"/>
        </w:rPr>
        <w:t>2025</w:t>
      </w:r>
      <w:r>
        <w:rPr>
          <w:rFonts w:hint="eastAsia" w:ascii="仿宋" w:hAnsi="仿宋" w:eastAsia="仿宋"/>
          <w:sz w:val="28"/>
          <w:szCs w:val="28"/>
        </w:rPr>
        <w:t>年贯通培养项目专升本转段考核-能力突出项目评价标准</w:t>
      </w:r>
    </w:p>
    <w:sectPr>
      <w:footerReference r:id="rId3" w:type="default"/>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微软雅黑"/>
    <w:panose1 w:val="020B0604020202020204"/>
    <w:charset w:val="86"/>
    <w:family w:val="auto"/>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6939429"/>
    </w:sdtPr>
    <w:sdtContent>
      <w:p w14:paraId="1F024F87">
        <w:pPr>
          <w:pStyle w:val="6"/>
          <w:jc w:val="center"/>
        </w:pPr>
        <w:r>
          <w:fldChar w:fldCharType="begin"/>
        </w:r>
        <w:r>
          <w:instrText xml:space="preserve">PAGE   \* MERGEFORMAT</w:instrText>
        </w:r>
        <w:r>
          <w:fldChar w:fldCharType="separate"/>
        </w:r>
        <w:r>
          <w:rPr>
            <w:lang w:val="zh-CN"/>
          </w:rPr>
          <w:t>4</w:t>
        </w:r>
        <w:r>
          <w:fldChar w:fldCharType="end"/>
        </w:r>
      </w:p>
    </w:sdtContent>
  </w:sdt>
  <w:p w14:paraId="36B1A0EC">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NmMmZkZjFkMDRhMmVkZjllMTY1ODAyOWM5ODc0MDcifQ=="/>
  </w:docVars>
  <w:rsids>
    <w:rsidRoot w:val="007C6159"/>
    <w:rsid w:val="00005C12"/>
    <w:rsid w:val="00010004"/>
    <w:rsid w:val="00021071"/>
    <w:rsid w:val="00021E36"/>
    <w:rsid w:val="00025642"/>
    <w:rsid w:val="0003247F"/>
    <w:rsid w:val="0004151F"/>
    <w:rsid w:val="0009485B"/>
    <w:rsid w:val="000B27F5"/>
    <w:rsid w:val="000C151E"/>
    <w:rsid w:val="000C259A"/>
    <w:rsid w:val="000D1E02"/>
    <w:rsid w:val="000F1FEC"/>
    <w:rsid w:val="0010536B"/>
    <w:rsid w:val="001303B8"/>
    <w:rsid w:val="0013192F"/>
    <w:rsid w:val="00170C8E"/>
    <w:rsid w:val="00183ED6"/>
    <w:rsid w:val="001A39EB"/>
    <w:rsid w:val="001A76B4"/>
    <w:rsid w:val="001E6487"/>
    <w:rsid w:val="001F3D59"/>
    <w:rsid w:val="00202A69"/>
    <w:rsid w:val="00203DB0"/>
    <w:rsid w:val="00205FE6"/>
    <w:rsid w:val="002112B3"/>
    <w:rsid w:val="0022466C"/>
    <w:rsid w:val="00233A7F"/>
    <w:rsid w:val="00236203"/>
    <w:rsid w:val="0024349A"/>
    <w:rsid w:val="00244BF1"/>
    <w:rsid w:val="002621B0"/>
    <w:rsid w:val="00276C44"/>
    <w:rsid w:val="00291AED"/>
    <w:rsid w:val="0029210A"/>
    <w:rsid w:val="002A046C"/>
    <w:rsid w:val="002A44F0"/>
    <w:rsid w:val="002C7446"/>
    <w:rsid w:val="002D382D"/>
    <w:rsid w:val="002E03F1"/>
    <w:rsid w:val="002F208B"/>
    <w:rsid w:val="002F29BC"/>
    <w:rsid w:val="002F7B6D"/>
    <w:rsid w:val="00303DE9"/>
    <w:rsid w:val="00313ED3"/>
    <w:rsid w:val="0033489C"/>
    <w:rsid w:val="00360EDB"/>
    <w:rsid w:val="003726E3"/>
    <w:rsid w:val="00375E14"/>
    <w:rsid w:val="00376BD1"/>
    <w:rsid w:val="0038039F"/>
    <w:rsid w:val="003A1476"/>
    <w:rsid w:val="003A7975"/>
    <w:rsid w:val="003F7924"/>
    <w:rsid w:val="00404CBA"/>
    <w:rsid w:val="0040509A"/>
    <w:rsid w:val="00480B4B"/>
    <w:rsid w:val="004964B2"/>
    <w:rsid w:val="004A26F0"/>
    <w:rsid w:val="004A3545"/>
    <w:rsid w:val="004B3E9A"/>
    <w:rsid w:val="004B5BE8"/>
    <w:rsid w:val="004D60AD"/>
    <w:rsid w:val="004F0A05"/>
    <w:rsid w:val="004F5202"/>
    <w:rsid w:val="005065D4"/>
    <w:rsid w:val="00511F62"/>
    <w:rsid w:val="00530C7C"/>
    <w:rsid w:val="00567205"/>
    <w:rsid w:val="005A2C78"/>
    <w:rsid w:val="005A4530"/>
    <w:rsid w:val="005A6A0E"/>
    <w:rsid w:val="005B64FC"/>
    <w:rsid w:val="005C0287"/>
    <w:rsid w:val="005E2D25"/>
    <w:rsid w:val="005F00E2"/>
    <w:rsid w:val="00671C02"/>
    <w:rsid w:val="006A0817"/>
    <w:rsid w:val="006A1E44"/>
    <w:rsid w:val="006C40C7"/>
    <w:rsid w:val="007055E8"/>
    <w:rsid w:val="00714F1C"/>
    <w:rsid w:val="00717A4B"/>
    <w:rsid w:val="00733553"/>
    <w:rsid w:val="00735545"/>
    <w:rsid w:val="00755C35"/>
    <w:rsid w:val="00767564"/>
    <w:rsid w:val="00772368"/>
    <w:rsid w:val="00794966"/>
    <w:rsid w:val="007B6251"/>
    <w:rsid w:val="007C6159"/>
    <w:rsid w:val="007D181B"/>
    <w:rsid w:val="007D394B"/>
    <w:rsid w:val="007D77F9"/>
    <w:rsid w:val="007F5526"/>
    <w:rsid w:val="0080695D"/>
    <w:rsid w:val="008501E4"/>
    <w:rsid w:val="00870BB9"/>
    <w:rsid w:val="00873BEB"/>
    <w:rsid w:val="0089148A"/>
    <w:rsid w:val="008E2935"/>
    <w:rsid w:val="008F69B3"/>
    <w:rsid w:val="00911184"/>
    <w:rsid w:val="009135F6"/>
    <w:rsid w:val="00921675"/>
    <w:rsid w:val="009267B5"/>
    <w:rsid w:val="00935BDB"/>
    <w:rsid w:val="00945B87"/>
    <w:rsid w:val="00966DC3"/>
    <w:rsid w:val="00980DE6"/>
    <w:rsid w:val="009C27D8"/>
    <w:rsid w:val="009C4F2D"/>
    <w:rsid w:val="009E015F"/>
    <w:rsid w:val="009E0B82"/>
    <w:rsid w:val="00A1706D"/>
    <w:rsid w:val="00A45FFB"/>
    <w:rsid w:val="00A77738"/>
    <w:rsid w:val="00A86CED"/>
    <w:rsid w:val="00A90AD9"/>
    <w:rsid w:val="00AC0D1A"/>
    <w:rsid w:val="00AE1C05"/>
    <w:rsid w:val="00AF33F3"/>
    <w:rsid w:val="00AF6D49"/>
    <w:rsid w:val="00B0666F"/>
    <w:rsid w:val="00B23C23"/>
    <w:rsid w:val="00B32D8F"/>
    <w:rsid w:val="00B50A14"/>
    <w:rsid w:val="00B80171"/>
    <w:rsid w:val="00B9088A"/>
    <w:rsid w:val="00B94A54"/>
    <w:rsid w:val="00BA3DB0"/>
    <w:rsid w:val="00BD4AF0"/>
    <w:rsid w:val="00BD4D54"/>
    <w:rsid w:val="00BF3CC9"/>
    <w:rsid w:val="00C17526"/>
    <w:rsid w:val="00C333EE"/>
    <w:rsid w:val="00C338F9"/>
    <w:rsid w:val="00C65FB3"/>
    <w:rsid w:val="00C6641D"/>
    <w:rsid w:val="00C8531A"/>
    <w:rsid w:val="00C858BC"/>
    <w:rsid w:val="00CA1969"/>
    <w:rsid w:val="00CB75E7"/>
    <w:rsid w:val="00CB7D40"/>
    <w:rsid w:val="00CC5009"/>
    <w:rsid w:val="00CC6820"/>
    <w:rsid w:val="00D272BC"/>
    <w:rsid w:val="00D45648"/>
    <w:rsid w:val="00D47E72"/>
    <w:rsid w:val="00D74CB8"/>
    <w:rsid w:val="00D9231A"/>
    <w:rsid w:val="00DA025C"/>
    <w:rsid w:val="00DB4FB1"/>
    <w:rsid w:val="00DC39FC"/>
    <w:rsid w:val="00DD004A"/>
    <w:rsid w:val="00DF6B58"/>
    <w:rsid w:val="00E06CF1"/>
    <w:rsid w:val="00E17734"/>
    <w:rsid w:val="00E220B0"/>
    <w:rsid w:val="00E265EA"/>
    <w:rsid w:val="00E356A8"/>
    <w:rsid w:val="00E449AB"/>
    <w:rsid w:val="00E44B69"/>
    <w:rsid w:val="00E4739B"/>
    <w:rsid w:val="00E66790"/>
    <w:rsid w:val="00E97A8E"/>
    <w:rsid w:val="00E97E2D"/>
    <w:rsid w:val="00EA7DD3"/>
    <w:rsid w:val="00EC3C4E"/>
    <w:rsid w:val="00EC4725"/>
    <w:rsid w:val="00ED6D6D"/>
    <w:rsid w:val="00ED7F84"/>
    <w:rsid w:val="00F20F39"/>
    <w:rsid w:val="00F245D0"/>
    <w:rsid w:val="00F434DD"/>
    <w:rsid w:val="00F560CC"/>
    <w:rsid w:val="00FC0961"/>
    <w:rsid w:val="00FE1142"/>
    <w:rsid w:val="00FF223C"/>
    <w:rsid w:val="085A7AAB"/>
    <w:rsid w:val="0C7C3781"/>
    <w:rsid w:val="10F87509"/>
    <w:rsid w:val="17CC0206"/>
    <w:rsid w:val="23BE7868"/>
    <w:rsid w:val="24A030DA"/>
    <w:rsid w:val="26317D1F"/>
    <w:rsid w:val="29044500"/>
    <w:rsid w:val="4911052B"/>
    <w:rsid w:val="4A597303"/>
    <w:rsid w:val="4F7D2A15"/>
    <w:rsid w:val="5AA81F48"/>
    <w:rsid w:val="5BCF262D"/>
    <w:rsid w:val="65715E92"/>
    <w:rsid w:val="705042BC"/>
    <w:rsid w:val="78592DF8"/>
    <w:rsid w:val="EF5DC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Date"/>
    <w:basedOn w:val="1"/>
    <w:next w:val="1"/>
    <w:link w:val="19"/>
    <w:unhideWhenUsed/>
    <w:qFormat/>
    <w:uiPriority w:val="99"/>
    <w:pPr>
      <w:ind w:left="100" w:leftChars="2500"/>
    </w:pPr>
  </w:style>
  <w:style w:type="paragraph" w:styleId="4">
    <w:name w:val="Body Text Indent 2"/>
    <w:basedOn w:val="1"/>
    <w:link w:val="15"/>
    <w:qFormat/>
    <w:uiPriority w:val="0"/>
    <w:pPr>
      <w:ind w:firstLine="435" w:firstLineChars="207"/>
    </w:pPr>
    <w:rPr>
      <w:rFonts w:ascii="Times New Roman" w:hAnsi="Times New Roman" w:eastAsia="宋体" w:cs="Times New Roman"/>
      <w:szCs w:val="24"/>
    </w:rPr>
  </w:style>
  <w:style w:type="paragraph" w:styleId="5">
    <w:name w:val="Balloon Text"/>
    <w:basedOn w:val="1"/>
    <w:link w:val="18"/>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Hyperlink"/>
    <w:basedOn w:val="11"/>
    <w:unhideWhenUsed/>
    <w:qFormat/>
    <w:uiPriority w:val="99"/>
    <w:rPr>
      <w:color w:val="0000FF" w:themeColor="hyperlink"/>
      <w:u w:val="single"/>
      <w14:textFill>
        <w14:solidFill>
          <w14:schemeClr w14:val="hlink"/>
        </w14:solidFill>
      </w14:textFill>
    </w:rPr>
  </w:style>
  <w:style w:type="character" w:styleId="14">
    <w:name w:val="annotation reference"/>
    <w:basedOn w:val="11"/>
    <w:unhideWhenUsed/>
    <w:qFormat/>
    <w:uiPriority w:val="99"/>
    <w:rPr>
      <w:sz w:val="21"/>
      <w:szCs w:val="21"/>
    </w:rPr>
  </w:style>
  <w:style w:type="character" w:customStyle="1" w:styleId="15">
    <w:name w:val="正文文本缩进 2 字符"/>
    <w:basedOn w:val="11"/>
    <w:link w:val="4"/>
    <w:qFormat/>
    <w:uiPriority w:val="0"/>
    <w:rPr>
      <w:rFonts w:ascii="Times New Roman" w:hAnsi="Times New Roman" w:eastAsia="宋体" w:cs="Times New Roman"/>
      <w:szCs w:val="24"/>
    </w:rPr>
  </w:style>
  <w:style w:type="character" w:customStyle="1" w:styleId="16">
    <w:name w:val="页眉 字符"/>
    <w:basedOn w:val="11"/>
    <w:link w:val="7"/>
    <w:qFormat/>
    <w:uiPriority w:val="99"/>
    <w:rPr>
      <w:sz w:val="18"/>
      <w:szCs w:val="18"/>
    </w:rPr>
  </w:style>
  <w:style w:type="character" w:customStyle="1" w:styleId="17">
    <w:name w:val="页脚 字符"/>
    <w:basedOn w:val="11"/>
    <w:link w:val="6"/>
    <w:qFormat/>
    <w:uiPriority w:val="99"/>
    <w:rPr>
      <w:sz w:val="18"/>
      <w:szCs w:val="18"/>
    </w:rPr>
  </w:style>
  <w:style w:type="character" w:customStyle="1" w:styleId="18">
    <w:name w:val="批注框文本 字符"/>
    <w:basedOn w:val="11"/>
    <w:link w:val="5"/>
    <w:semiHidden/>
    <w:qFormat/>
    <w:uiPriority w:val="99"/>
    <w:rPr>
      <w:sz w:val="18"/>
      <w:szCs w:val="18"/>
    </w:rPr>
  </w:style>
  <w:style w:type="character" w:customStyle="1" w:styleId="19">
    <w:name w:val="日期 字符"/>
    <w:basedOn w:val="11"/>
    <w:link w:val="3"/>
    <w:semiHidden/>
    <w:qFormat/>
    <w:uiPriority w:val="99"/>
    <w:rPr>
      <w:kern w:val="2"/>
      <w:sz w:val="21"/>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1700</Words>
  <Characters>1812</Characters>
  <Lines>13</Lines>
  <Paragraphs>3</Paragraphs>
  <TotalTime>4</TotalTime>
  <ScaleCrop>false</ScaleCrop>
  <LinksUpToDate>false</LinksUpToDate>
  <CharactersWithSpaces>1819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2025-03-05T01:11:00Z</dcterms:created>
  <dc:creator>user</dc:creator>
  <cp:lastModifiedBy>小草</cp:lastModifiedBy>
  <cp:lastPrinted>2021-03-18T21:24:00Z</cp:lastPrinted>
  <dcterms:modified xsi:type="dcterms:W3CDTF">2025-03-10T01:20:47Z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F6287AA2DCC4430CA201248CE350E56D_13</vt:lpwstr>
  </property>
  <property fmtid="{D5CDD505-2E9C-101B-9397-08002B2CF9AE}" pid="4" name="KSOTemplateDocerSaveRecord">
    <vt:lpwstr>eyJoZGlkIjoiODI4OWJkZmM0YTA0MjZhZTlhMDRlYWRiMzZiZTQxYmMiLCJ1c2VySWQiOiIxNjUyODM4MTM2In0=</vt:lpwstr>
  </property>
</Properties>
</file>